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ACEEF29" w:rsidR="00F92268" w:rsidRPr="003C76EF" w:rsidRDefault="00862C3C" w:rsidP="000025F0">
            <w:pPr>
              <w:pStyle w:val="Head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1863 – A 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8222E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CFEA312" w:rsidR="004B15BB" w:rsidRPr="00DC7EC3" w:rsidRDefault="00711877" w:rsidP="007E5C16">
      <w:pPr>
        <w:pStyle w:val="Heading1"/>
        <w:rPr>
          <w:lang w:val="it-IT"/>
        </w:rPr>
      </w:pPr>
      <w:r w:rsidRPr="00DC7EC3">
        <w:rPr>
          <w:lang w:val="it-IT"/>
        </w:rPr>
        <w:t>Specialty Guideline Management</w:t>
      </w:r>
      <w:r w:rsidRPr="00DC7EC3">
        <w:rPr>
          <w:lang w:val="it-IT"/>
        </w:rPr>
        <w:br/>
        <w:t>Zolinza</w:t>
      </w:r>
    </w:p>
    <w:p w14:paraId="78861C92" w14:textId="4FC2EA7D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3AAAE7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4503F7" w:rsidRPr="00BD1CC1">
        <w:t>O</w:t>
      </w:r>
      <w:r w:rsidR="004503F7">
        <w:t>ver-the-counter</w:t>
      </w:r>
      <w:r w:rsidR="004503F7" w:rsidRPr="00BD1CC1">
        <w:t xml:space="preserve"> </w:t>
      </w:r>
      <w:r w:rsidR="004503F7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8F87AF8" w:rsidR="00585FFF" w:rsidRPr="00BD1CC1" w:rsidRDefault="00711877" w:rsidP="00E82ABA">
            <w:pPr>
              <w:pStyle w:val="TableDataUnpadded"/>
            </w:pPr>
            <w:r w:rsidRPr="00862C3C">
              <w:t>Zolinza</w:t>
            </w:r>
          </w:p>
        </w:tc>
        <w:tc>
          <w:tcPr>
            <w:tcW w:w="5595" w:type="dxa"/>
          </w:tcPr>
          <w:p w14:paraId="7E26A004" w14:textId="11BD2CA6" w:rsidR="00585FFF" w:rsidRPr="00BD1CC1" w:rsidRDefault="00862C3C" w:rsidP="00E82ABA">
            <w:pPr>
              <w:pStyle w:val="TableDataUnpadded"/>
            </w:pPr>
            <w:r w:rsidRPr="00862C3C">
              <w:t>vorinostat</w:t>
            </w:r>
          </w:p>
        </w:tc>
      </w:tr>
    </w:tbl>
    <w:bookmarkEnd w:id="0"/>
    <w:p w14:paraId="14CE6108" w14:textId="45F45BD5" w:rsidR="00FC1AAD" w:rsidRDefault="00ED052F" w:rsidP="00ED052F">
      <w:pPr>
        <w:pStyle w:val="Heading2"/>
      </w:pPr>
      <w:r>
        <w:t>Indications</w:t>
      </w:r>
    </w:p>
    <w:p w14:paraId="3F5BDCC0" w14:textId="5C9BD256" w:rsidR="00862C3C" w:rsidRPr="00862C3C" w:rsidRDefault="00862C3C" w:rsidP="00862C3C">
      <w:pPr>
        <w:pStyle w:val="BodyText"/>
      </w:pPr>
      <w:r w:rsidRPr="00862C3C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568D68E" w:rsidR="00ED052F" w:rsidRPr="00BD1CC1" w:rsidRDefault="00ED052F" w:rsidP="00ED052F">
      <w:pPr>
        <w:pStyle w:val="Heading3"/>
        <w:keepNext w:val="0"/>
      </w:pPr>
      <w:r w:rsidRPr="00BD1CC1">
        <w:t>FDA-approved Indicatio</w:t>
      </w:r>
      <w:r w:rsidR="00862C3C" w:rsidRPr="00862C3C">
        <w:t>n</w:t>
      </w:r>
      <w:r w:rsidR="00862C3C" w:rsidRPr="00862C3C">
        <w:rPr>
          <w:vertAlign w:val="superscript"/>
        </w:rPr>
        <w:t>1</w:t>
      </w:r>
    </w:p>
    <w:p w14:paraId="3058A5F8" w14:textId="2656CF79" w:rsidR="005C778C" w:rsidRPr="00255903" w:rsidRDefault="00862C3C" w:rsidP="00862C3C">
      <w:pPr>
        <w:pStyle w:val="BodyText"/>
      </w:pPr>
      <w:r w:rsidRPr="00862C3C">
        <w:t>Zolinza is indicated for the treatment of cutaneous manifestations in patients with cutaneous T-cell lymphoma (CTCL) who have progressive, persistent, or recurrent disease on or following two systemic therapies</w:t>
      </w:r>
    </w:p>
    <w:p w14:paraId="0B5EC236" w14:textId="0CB673AB" w:rsidR="0044763A" w:rsidRDefault="009F2EF1" w:rsidP="0044763A">
      <w:pPr>
        <w:pStyle w:val="Heading3"/>
        <w:rPr>
          <w:vertAlign w:val="superscript"/>
        </w:rPr>
      </w:pPr>
      <w:r>
        <w:t>Compendial Use</w:t>
      </w:r>
      <w:r w:rsidR="00862C3C" w:rsidRPr="00862C3C">
        <w:t>s</w:t>
      </w:r>
      <w:r w:rsidR="00862C3C" w:rsidRPr="00862C3C">
        <w:rPr>
          <w:vertAlign w:val="superscript"/>
        </w:rPr>
        <w:t>2</w:t>
      </w:r>
    </w:p>
    <w:p w14:paraId="5FA5E4E7" w14:textId="308C0CF5" w:rsidR="0061243F" w:rsidRPr="0061243F" w:rsidRDefault="0061243F" w:rsidP="0061243F">
      <w:pPr>
        <w:pStyle w:val="BodyText"/>
      </w:pPr>
      <w:r w:rsidRPr="0061243F">
        <w:t>Mycosis fungoides (MF)/Sézary syndrome (SS)</w:t>
      </w:r>
    </w:p>
    <w:p w14:paraId="76D9655C" w14:textId="77777777" w:rsidR="00711877" w:rsidRDefault="009A5649" w:rsidP="009A5649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50A38FBA" w14:textId="2F7F7AB4" w:rsidR="00FE0C63" w:rsidRPr="0061243F" w:rsidRDefault="00685107" w:rsidP="00B52CF5">
      <w:pPr>
        <w:pStyle w:val="Heading2"/>
        <w:tabs>
          <w:tab w:val="left" w:pos="9204"/>
        </w:tabs>
      </w:pPr>
      <w:r>
        <w:lastRenderedPageBreak/>
        <w:t>Coverage Criteria</w:t>
      </w:r>
    </w:p>
    <w:p w14:paraId="5E357792" w14:textId="349B588A" w:rsidR="00C22F9B" w:rsidRDefault="0061243F" w:rsidP="00C22F9B">
      <w:pPr>
        <w:pStyle w:val="Heading3"/>
        <w:rPr>
          <w:vertAlign w:val="superscript"/>
        </w:rPr>
      </w:pPr>
      <w:r w:rsidRPr="0061243F">
        <w:t>Cutaneous T-cell Lymphoma (CTCL)</w:t>
      </w:r>
      <w:r w:rsidRPr="0061243F">
        <w:rPr>
          <w:vertAlign w:val="superscript"/>
        </w:rPr>
        <w:t>1-2</w:t>
      </w:r>
    </w:p>
    <w:p w14:paraId="7669011E" w14:textId="6570999A" w:rsidR="0061243F" w:rsidRDefault="0061243F" w:rsidP="0061243F">
      <w:pPr>
        <w:pStyle w:val="BodyText"/>
      </w:pPr>
      <w:r>
        <w:t>Authorization of 12 months may be granted for the treatment of CTCL (e.g., MF, SS).</w:t>
      </w:r>
    </w:p>
    <w:p w14:paraId="2E379844" w14:textId="48931C50" w:rsidR="0061243F" w:rsidRDefault="00A501AC" w:rsidP="0061243F">
      <w:pPr>
        <w:pStyle w:val="Heading2"/>
      </w:pPr>
      <w:r w:rsidRPr="00BD1CC1">
        <w:t>Continuation of Therapy</w:t>
      </w:r>
    </w:p>
    <w:p w14:paraId="6501F98E" w14:textId="26BBF729" w:rsidR="0061243F" w:rsidRDefault="0061243F" w:rsidP="0061243F">
      <w:pPr>
        <w:pStyle w:val="BodyText"/>
      </w:pPr>
      <w:r>
        <w:t xml:space="preserve">Authorization of 12 months may be granted for continued treatment in members requesting reauthorization for an indication listed in </w:t>
      </w:r>
      <w:r w:rsidR="00726F30">
        <w:t>the Coverage Criteria section</w:t>
      </w:r>
      <w:r>
        <w:t xml:space="preserve"> when there is no evidence of unacceptable toxicity or disease progression while on the current regimen.</w:t>
      </w:r>
    </w:p>
    <w:p w14:paraId="0A275F8B" w14:textId="4EB2097F" w:rsidR="000E0438" w:rsidRPr="008D1B34" w:rsidRDefault="000E0438" w:rsidP="000E0438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111E14A3" w14:textId="5D804E60" w:rsidR="00B52CF5" w:rsidRDefault="00B52CF5" w:rsidP="00B52CF5">
      <w:pPr>
        <w:pStyle w:val="ReferenceOrdered"/>
      </w:pPr>
      <w:r>
        <w:t>Zolinza [package insert]. Whitehouse Station, NJ: Merck &amp; Co., Inc.; July 2022.</w:t>
      </w:r>
    </w:p>
    <w:p w14:paraId="4A0A5A6D" w14:textId="1405B817" w:rsidR="00B52CF5" w:rsidRDefault="00B52CF5" w:rsidP="00B52CF5">
      <w:pPr>
        <w:pStyle w:val="ReferenceOrdered"/>
      </w:pPr>
      <w:r>
        <w:t xml:space="preserve">The NCCN Drugs &amp; Biologics Compendium® © 2024 National Comprehensive Cancer Network, Inc. https://www.nccn.org. Accessed </w:t>
      </w:r>
      <w:r w:rsidR="00726F30">
        <w:t>December 16</w:t>
      </w:r>
      <w:r>
        <w:t>, 2024</w:t>
      </w:r>
    </w:p>
    <w:sectPr w:rsidR="00B52CF5" w:rsidSect="0028222E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B6FD" w14:textId="77777777" w:rsidR="00CE1E27" w:rsidRDefault="00CE1E27">
      <w:r>
        <w:separator/>
      </w:r>
    </w:p>
  </w:endnote>
  <w:endnote w:type="continuationSeparator" w:id="0">
    <w:p w14:paraId="02F462DB" w14:textId="77777777" w:rsidR="00CE1E27" w:rsidRDefault="00CE1E27">
      <w:r>
        <w:continuationSeparator/>
      </w:r>
    </w:p>
  </w:endnote>
  <w:endnote w:type="continuationNotice" w:id="1">
    <w:p w14:paraId="15FE2B90" w14:textId="77777777" w:rsidR="00CE1E27" w:rsidRDefault="00CE1E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8038FB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DC7EC3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06D2F" w:rsidRPr="00106D2F">
      <w:rPr>
        <w:rFonts w:cs="Arial"/>
        <w:noProof/>
        <w:sz w:val="16"/>
        <w:szCs w:val="16"/>
        <w:lang w:val="it-IT"/>
      </w:rPr>
      <w:t>Zolinza</w:t>
    </w:r>
    <w:r w:rsidR="00106D2F">
      <w:rPr>
        <w:rFonts w:cs="Arial"/>
        <w:noProof/>
        <w:snapToGrid w:val="0"/>
        <w:color w:val="000000"/>
        <w:sz w:val="16"/>
        <w:szCs w:val="16"/>
        <w:lang w:val="it-IT"/>
      </w:rPr>
      <w:t xml:space="preserve"> SGM 1863-A</w:t>
    </w:r>
    <w:r w:rsidR="00106D2F" w:rsidRPr="00106D2F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DC7EC3">
      <w:rPr>
        <w:rFonts w:cs="Arial"/>
        <w:snapToGrid w:val="0"/>
        <w:color w:val="000000"/>
        <w:sz w:val="16"/>
        <w:lang w:val="it-IT"/>
      </w:rPr>
      <w:tab/>
      <w:t>© 202</w:t>
    </w:r>
    <w:r w:rsidR="00726F30">
      <w:rPr>
        <w:rFonts w:cs="Arial"/>
        <w:snapToGrid w:val="0"/>
        <w:color w:val="000000"/>
        <w:sz w:val="16"/>
        <w:lang w:val="it-IT"/>
      </w:rPr>
      <w:t>5</w:t>
    </w:r>
    <w:r w:rsidRPr="00DC7EC3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43FC81C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287B737" w:rsidR="00F75C81" w:rsidRPr="00AA1E6A" w:rsidRDefault="00C36B72" w:rsidP="00131DB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C0FF9C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711877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47A05" w:rsidRPr="00C47A05">
      <w:rPr>
        <w:rFonts w:cs="Arial"/>
        <w:noProof/>
        <w:sz w:val="16"/>
        <w:szCs w:val="16"/>
        <w:lang w:val="pt-BR"/>
      </w:rPr>
      <w:t>Zolinza</w:t>
    </w:r>
    <w:r w:rsidR="00C47A05">
      <w:rPr>
        <w:rFonts w:cs="Arial"/>
        <w:noProof/>
        <w:snapToGrid w:val="0"/>
        <w:color w:val="000000"/>
        <w:sz w:val="16"/>
        <w:szCs w:val="16"/>
        <w:lang w:val="pt-BR"/>
      </w:rPr>
      <w:t xml:space="preserve"> SGM 1863-A</w:t>
    </w:r>
    <w:r w:rsidR="00C47A05" w:rsidRPr="00C47A05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711877">
      <w:rPr>
        <w:rFonts w:cs="Arial"/>
        <w:snapToGrid w:val="0"/>
        <w:color w:val="000000"/>
        <w:sz w:val="16"/>
        <w:lang w:val="pt-BR"/>
      </w:rPr>
      <w:tab/>
      <w:t>© 202</w:t>
    </w:r>
    <w:r w:rsidR="00726F30">
      <w:rPr>
        <w:rFonts w:cs="Arial"/>
        <w:snapToGrid w:val="0"/>
        <w:color w:val="000000"/>
        <w:sz w:val="16"/>
        <w:lang w:val="pt-BR"/>
      </w:rPr>
      <w:t>5</w:t>
    </w:r>
    <w:r w:rsidRPr="00711877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0EDC174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E5E9F09" w:rsidR="00ED04EC" w:rsidRPr="00F50D98" w:rsidRDefault="00F50D98" w:rsidP="00131DB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64A7" w14:textId="77777777" w:rsidR="00CE1E27" w:rsidRDefault="00CE1E27">
      <w:r>
        <w:separator/>
      </w:r>
    </w:p>
  </w:footnote>
  <w:footnote w:type="continuationSeparator" w:id="0">
    <w:p w14:paraId="09803F93" w14:textId="77777777" w:rsidR="00CE1E27" w:rsidRDefault="00CE1E27">
      <w:r>
        <w:continuationSeparator/>
      </w:r>
    </w:p>
  </w:footnote>
  <w:footnote w:type="continuationNotice" w:id="1">
    <w:p w14:paraId="4462E97D" w14:textId="77777777" w:rsidR="00CE1E27" w:rsidRDefault="00CE1E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1BBB02B" w:rsidR="00ED04EC" w:rsidRPr="00AA1E6A" w:rsidRDefault="00B52CF5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 w:rsidRPr="00B52CF5">
            <w:rPr>
              <w:rFonts w:ascii="Arial" w:hAnsi="Arial" w:cs="Arial"/>
              <w:sz w:val="16"/>
              <w:szCs w:val="16"/>
            </w:rPr>
            <w:t>1863- 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2D4C6203" w:rsidR="000F5383" w:rsidRPr="00121DAD" w:rsidRDefault="00711877" w:rsidP="000F5383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1863 – 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6EC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D2F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1DBD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5B1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22E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57EA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5D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3F7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B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43F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877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6F30"/>
    <w:rsid w:val="00727790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2C3C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3DE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0BD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1B2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CF5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47A05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1E27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EC3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1B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E02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4FA3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E8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5F66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CC695C5E-F5BC-48A8-8963-130885D999DD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Zolinza SGM 1863-A</vt:lpstr>
    </vt:vector>
  </TitlesOfParts>
  <Company>CVS Caremark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Zolinza SGM 1863-A</dc:title>
  <dc:subject>Zolinza SGM 1863-A</dc:subject>
  <dc:creator>CVS Caremark</dc:creator>
  <cp:keywords/>
  <cp:lastModifiedBy>Reynoso, Victor H</cp:lastModifiedBy>
  <cp:revision>5</cp:revision>
  <cp:lastPrinted>2024-04-12T12:56:00Z</cp:lastPrinted>
  <dcterms:created xsi:type="dcterms:W3CDTF">2025-04-23T18:33:00Z</dcterms:created>
  <dcterms:modified xsi:type="dcterms:W3CDTF">2025-04-23T18:35:00Z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560800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